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D" w:rsidRDefault="005E512D" w:rsidP="005E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2D">
        <w:rPr>
          <w:rFonts w:ascii="Times New Roman" w:hAnsi="Times New Roman" w:cs="Times New Roman"/>
          <w:b/>
          <w:sz w:val="28"/>
          <w:szCs w:val="28"/>
        </w:rPr>
        <w:t xml:space="preserve">Вопросы для экзамена по </w:t>
      </w:r>
    </w:p>
    <w:p w:rsidR="005E512D" w:rsidRPr="005E512D" w:rsidRDefault="005E512D" w:rsidP="005E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2D">
        <w:rPr>
          <w:rFonts w:ascii="Times New Roman" w:hAnsi="Times New Roman" w:cs="Times New Roman"/>
          <w:b/>
          <w:sz w:val="28"/>
          <w:szCs w:val="28"/>
        </w:rPr>
        <w:t>МДК 04.01 Учет земель и контроль их использования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1. Сведения кадастра недвижимости и способы их получения.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>2. Количественный учет земель по угодьям.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 3. Проведение оценочных работ для целей кадастра недвижимости.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 4. Проведения оценочных работ для подготовки проектов землеустройства.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 5. Качественная оценка земель (бонитировка). Понятие, содержание, критерии и показатели качественной оценки земель.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6. Классификация земель по степени пригодности для использования в сельском хозяйстве.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7. Зонирование межселенной территории на основе классификация земель по степени пригодности для использования в сельском хозяйстве.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8. Виды рисков, учитываемые при оценке сельскохозяйственных земель и способы их определения.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9. Мировой опыт развития кадастра недвижимости.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10. Информационные системы кадастра недвижимости.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11. Правовой режим и учет земель (земельных участков), предоставленных для добычи полезных ископаемых.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12. Порядок перевода земель из одной категории в другую.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13. Учет земель в несельскохозяйственных предприятиях.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14. Внесение и исключение данных из реестра кадастровых инженеров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15. Цель и задачи саморегулируемых организаций в кадастровой деятельности.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16. Защита прав и интересов членов СРО.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17. Права и обязанности кадастрового инженера.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18. Организация стажировки в качестве помощника кадастрового инженера.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19. Требования к базовому образованию для кадастрового инженера.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20. ЭЦП. Понятие, виды, использование.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lastRenderedPageBreak/>
        <w:t xml:space="preserve">21. Основные источники кадастровой информации.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22. Виды кадастровой информации, предоставляемой Росреестром.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23. Финансирование комплексных кадастровых работ.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24. Исправление ошибок при проведении комплексных кадастровых работ.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25. Структура классификатора недвижимого имущества (КНИ).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26. Классификация источников кадастровой информации.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27. Виды обследований и изысканий для целей кадастра недвижимости.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28. Планово-картографические материалы, как источники кадастровой информации.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29. Методы и технологии получения земельно-кадастровой информации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30. Обработка данных, полученных в результате землеустройства.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31. Автоматизированные системы учета земельных участков и иных объектов недвижимости. 32. Программное обеспечение для ведения кадастра недвижимости. </w:t>
      </w:r>
    </w:p>
    <w:p w:rsidR="005E512D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 xml:space="preserve">33. Содержание сведений ГКН о границах территории Российской Федерации и территории субъекта РФ. </w:t>
      </w:r>
    </w:p>
    <w:p w:rsidR="006A45E9" w:rsidRPr="005E512D" w:rsidRDefault="005E512D" w:rsidP="005E512D">
      <w:pPr>
        <w:jc w:val="both"/>
        <w:rPr>
          <w:rFonts w:ascii="Times New Roman" w:hAnsi="Times New Roman" w:cs="Times New Roman"/>
          <w:sz w:val="28"/>
          <w:szCs w:val="24"/>
        </w:rPr>
      </w:pPr>
      <w:r w:rsidRPr="005E512D">
        <w:rPr>
          <w:rFonts w:ascii="Times New Roman" w:hAnsi="Times New Roman" w:cs="Times New Roman"/>
          <w:sz w:val="28"/>
          <w:szCs w:val="24"/>
        </w:rPr>
        <w:t>34. Содержание сведений ГКН о границах муниципального образования и территориальных зонах.</w:t>
      </w:r>
    </w:p>
    <w:sectPr w:rsidR="006A45E9" w:rsidRPr="005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E512D"/>
    <w:rsid w:val="005E512D"/>
    <w:rsid w:val="006A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2020-05-17T07:18:00Z</dcterms:created>
  <dcterms:modified xsi:type="dcterms:W3CDTF">2020-05-17T07:20:00Z</dcterms:modified>
</cp:coreProperties>
</file>