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FF" w:rsidRDefault="001668FF" w:rsidP="001668F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Экзаменационные вопросы</w:t>
      </w:r>
    </w:p>
    <w:p w:rsidR="001668FF" w:rsidRDefault="001668FF" w:rsidP="001668FF">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Вопросы для подготовки к экзамену по дисциплине:</w:t>
      </w:r>
    </w:p>
    <w:p w:rsidR="001668FF" w:rsidRDefault="001668FF" w:rsidP="001668FF">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«Конституционное право»</w:t>
      </w:r>
    </w:p>
    <w:p w:rsidR="001668FF" w:rsidRDefault="001668FF" w:rsidP="001668FF">
      <w:pPr>
        <w:pStyle w:val="a3"/>
        <w:jc w:val="both"/>
        <w:rPr>
          <w:rFonts w:ascii="Times New Roman" w:hAnsi="Times New Roman" w:cs="Times New Roman"/>
          <w:sz w:val="24"/>
          <w:szCs w:val="24"/>
          <w:lang w:eastAsia="ru-RU"/>
        </w:rPr>
      </w:pP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Конституционное право: понятие, предмет, метод. </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Понятие, сущность, функции конституции.</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 Юридические свойства конституции.</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Содержание Конституции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 Форма и структура конституций.</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 Правовой статус личности.</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7. Конституция – основной источник конституционного  права.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8. Уполномоченный по правам человека.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9. Государственный суверенитет.</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10. Государственная символика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 Источники конституционного права.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12. Правовой статус Председателя Правительства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 Порядок предоставления политического убежища.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14. Основы конституционного строя.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15. Права и свободы человека и гражданина по Конституции РФ. Их классификация.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16. Принципы правового статуса личности в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17. Преамбула Конституции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18. Содержание конституционных гарантий соблюдения прав и свобод</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человека и гражданина.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19. Обязанности человека и гражданина по российской Конституции.</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20. Понятие и принципы российского гражданства.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 Основания и порядок приобретения гражданства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 Основания и порядок прекращения гражданства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23. Порядок рассмотрения вопросов гражданства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24. Конституционно-правовой статус иностранных граждан на территории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25. Правовой статус беженцев.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26. Правовой статус вынужденных переселенцев.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27. Краткая характеристика федеральных округов.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28. Основные понятия гражданства.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29. Трудоустройство иностранных граждан.</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30. Предметы ведения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31. Предметы совместного ведения РФ и ее субъектов.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32. Конституционно-правовой статус субъектов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33. Полномочный представитель Президента РФ в федеральном округе: статус, компетенция.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34. Понятие избирательной системы и избирательного права: соотношение понятий.</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 Конституционные основы избирательной системы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36. Стадии избирательного процесса в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37. Субъекты избирательного процесса в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38. Кандидат на выборную должность: статус, порядок регистрации, основания и порядок отказа в регистрации, отмены регистрации.</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39. Избиратель как субъект избирательного процесса.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40. Политические партии как субъекты избирательного права и процесса в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41. Центральная избирательная комиссия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42. Избирательные цензы в российском избирательном праве.</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43. Признание выборов недействительными и несостоявшимися: правовые последствия. Повторные выборы.</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44. Референдум: виды, порядок назначения.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45. Порядок подготовки к проведению референдума, голосование и определение его результатов.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46. Признание референдума недействительным и несостоявшимся: правовые последствия.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47. Юридическая ответственность за нарушение норм избирательного законодательства.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48. Конституционно-правовой статус депутата Государственной Думы Федерального Собрания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49. Императивный и свободный депутатский мандат.</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50. Государственная Дума РФ: статус, полномочия.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51. Досрочное прекращение полномочий Государственной Думы.</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52. Стадии процесса выборов депутатов ГД ФС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53. Порядок формирования Совета Федерации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54. Совет Федерации РФ: статус и полномочия.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55. Законодательный процесс в Государственной Думе.</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56. Участие Совета Федерации в законодательном процессе.</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57. Подписание и обнародование законов.</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58. Конституционные поправки и пересмотр Конституции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59. Президент РФ как глава государства: статус, компетенция.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60. Порядок выборов Президента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61. Досрочное прекращение полномочий Президента РФ.</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62.Основные требования к кандидатам в Президенты РФ. </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63. Досрочные выборы Президента РФ: особенности организации и проведения.</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64. Акты Президента РФ: виды, юридическая природа.</w:t>
      </w:r>
    </w:p>
    <w:p w:rsidR="001668FF" w:rsidRDefault="001668FF" w:rsidP="00166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65. Конституционно-правовой статус Правительства РФ.</w:t>
      </w:r>
    </w:p>
    <w:p w:rsidR="001668FF" w:rsidRDefault="001668FF" w:rsidP="001668F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для экзамена</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Задача № 1. </w:t>
      </w:r>
      <w:r>
        <w:rPr>
          <w:rFonts w:ascii="Times New Roman" w:hAnsi="Times New Roman" w:cs="Times New Roman"/>
          <w:sz w:val="24"/>
          <w:szCs w:val="24"/>
        </w:rPr>
        <w:t xml:space="preserve">Решением Санкт-Петербургского городского суда оставлена без удовлетворения жалоба гражданина Иордании Аделя Кемаля на действия Миграционной службы Санкт-Петербурга, отказавшей ему в предоставлении статуса беженца. Суд всесторонне исследовал причины, побудившие заявителя выехать из Ливана и не возвращаться в страну его гражданской принадлежности - Иорданию, и сделал вывод о том, что ими явились опасность преследования со стороны властей этих государств не за политические убеждения, а за военную деятельность, а также социально - экономические причины: нестабильность обстановки в данном регионе, желание заявителя дать своим детям возможность жить в условиях иного общественного уклада.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Каковые основания для признания лица беженцем? </w:t>
      </w:r>
    </w:p>
    <w:p w:rsidR="001668FF" w:rsidRDefault="001668FF" w:rsidP="001668FF">
      <w:pPr>
        <w:pStyle w:val="a3"/>
        <w:jc w:val="both"/>
        <w:rPr>
          <w:rFonts w:ascii="Times New Roman" w:hAnsi="Times New Roman" w:cs="Times New Roman"/>
          <w:sz w:val="24"/>
          <w:szCs w:val="24"/>
        </w:rPr>
      </w:pPr>
      <w:r>
        <w:rPr>
          <w:rFonts w:ascii="Times New Roman" w:hAnsi="Times New Roman" w:cs="Times New Roman"/>
          <w:b/>
          <w:sz w:val="24"/>
          <w:szCs w:val="24"/>
        </w:rPr>
        <w:t>Задача № 2.</w:t>
      </w:r>
      <w:r>
        <w:rPr>
          <w:rFonts w:ascii="Times New Roman" w:hAnsi="Times New Roman" w:cs="Times New Roman"/>
          <w:sz w:val="24"/>
          <w:szCs w:val="24"/>
        </w:rPr>
        <w:t xml:space="preserve"> Администрации Ленинского района г. Сургута отказала гражданке Семеновой Н.Б. в постоянной регистрации по месту жительства ее сестры в связи с тем, что в случае такой регистрации будут существенно ухудшены жилищные условия лиц, проживающих в этом жилом помещении. Гражданка Семенова является беженкой, ее сестра согласна на регистрацию Семеновой на занимаемой ею жилой площади.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Правомерен ли отказ в регистрации? </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Задача № 3. </w:t>
      </w:r>
      <w:r>
        <w:rPr>
          <w:rFonts w:ascii="Times New Roman" w:hAnsi="Times New Roman" w:cs="Times New Roman"/>
          <w:sz w:val="24"/>
          <w:szCs w:val="24"/>
        </w:rPr>
        <w:t xml:space="preserve">Законом субъекта РФ в числе других оснований досрочного прекращения полномочий судьи Уставного суда субъекта было предусмотрено прекращение полномочий в случаях нарушения установленного порядка вступления в должность судьи Уставного суда; неучастия судьи в заседаниях Уставного суда без уважительных причин или уклонение от голосования свыше двух раз подряд; ликвидации Уставного суда в связи с изменением Устава.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Нарушил ли субъект Российской Федерации требования действующего законодательства, приняв такой закон? Каковы полномочия субъектов РФ в области их собственной системы органов государственной власти? </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 4. </w:t>
      </w:r>
      <w:r>
        <w:rPr>
          <w:rFonts w:ascii="Times New Roman" w:hAnsi="Times New Roman" w:cs="Times New Roman"/>
          <w:sz w:val="24"/>
          <w:szCs w:val="24"/>
        </w:rPr>
        <w:t xml:space="preserve">Решением суда отказано в удовлетворении жалобы заявителя о признании недействительной нормы конституции субъекта Российской Федерации о том, что президентом субъекта Российской Федерации может быть избран гражданин, владеющий русским языком и государственным языком этого субъекта Российской Федерации. При этом суд сослался на ч. ч. 1 и 2 ст. 68 Конституции РФ о том, что государственным языком Российской Федерации на всей территории является русский язык, а республики вправе устанавливать свои государственные языки.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Обосновано ли решение суда? </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Задача № 5. </w:t>
      </w:r>
      <w:r>
        <w:rPr>
          <w:rFonts w:ascii="Times New Roman" w:hAnsi="Times New Roman" w:cs="Times New Roman"/>
          <w:sz w:val="24"/>
          <w:szCs w:val="24"/>
        </w:rPr>
        <w:t xml:space="preserve">Законом субъекта РФ установлено, что при осуществлении отдельных полномочий органа государственной власти, которыми наделен орган местного самоуправления, этот орган местного самоуправления использует печать и бланк с изображением Государственного герба Российской Федерации и со своим наименованием.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Противоречит ли указанная норма ФКЗ "О Государственном гербе РФ"? </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Задача № 6. </w:t>
      </w:r>
      <w:r>
        <w:rPr>
          <w:rFonts w:ascii="Times New Roman" w:hAnsi="Times New Roman" w:cs="Times New Roman"/>
          <w:sz w:val="24"/>
          <w:szCs w:val="24"/>
        </w:rPr>
        <w:t xml:space="preserve">После подсчета голосов председатель участковой избирательной комиссии попросил членов комиссии и наблюдателей помочь перенести бюллетени в автомашину для отправки их в территориальную комиссию.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Нарушены ли требования закона? Изменится ли решение, если бюллетени находятся в закрытых и опечатанных ящиках? </w:t>
      </w:r>
    </w:p>
    <w:p w:rsidR="001668FF" w:rsidRDefault="001668FF" w:rsidP="001668FF">
      <w:pPr>
        <w:pStyle w:val="a3"/>
        <w:jc w:val="both"/>
        <w:rPr>
          <w:rFonts w:ascii="Times New Roman" w:hAnsi="Times New Roman" w:cs="Times New Roman"/>
          <w:sz w:val="24"/>
          <w:szCs w:val="24"/>
        </w:rPr>
      </w:pPr>
      <w:r>
        <w:rPr>
          <w:rFonts w:ascii="Times New Roman" w:hAnsi="Times New Roman" w:cs="Times New Roman"/>
          <w:b/>
          <w:sz w:val="24"/>
          <w:szCs w:val="24"/>
        </w:rPr>
        <w:t>Задача № 7.</w:t>
      </w:r>
      <w:r>
        <w:rPr>
          <w:rFonts w:ascii="Times New Roman" w:hAnsi="Times New Roman" w:cs="Times New Roman"/>
          <w:sz w:val="24"/>
          <w:szCs w:val="24"/>
        </w:rPr>
        <w:t xml:space="preserve"> Территориальной избирательной комиссией не была обеспечена доставка избирательных бюллетеней на некоторые избирательные участки. В результате на этих участках смогли проголосовать только 10% избирателей, и выборы были признаны не состоявшимися. Вышестоящая избирательная комиссия обратилась в суд с требованием о расформировании территориальной комиссии.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ли основания для принятия решения о расформировании? </w:t>
      </w:r>
    </w:p>
    <w:p w:rsidR="001668FF" w:rsidRDefault="001668FF" w:rsidP="001668FF">
      <w:pPr>
        <w:pStyle w:val="a3"/>
        <w:jc w:val="both"/>
        <w:rPr>
          <w:rFonts w:ascii="Times New Roman" w:hAnsi="Times New Roman" w:cs="Times New Roman"/>
          <w:sz w:val="24"/>
          <w:szCs w:val="24"/>
        </w:rPr>
      </w:pPr>
      <w:r>
        <w:rPr>
          <w:rFonts w:ascii="Times New Roman" w:hAnsi="Times New Roman" w:cs="Times New Roman"/>
          <w:b/>
          <w:sz w:val="24"/>
          <w:szCs w:val="24"/>
        </w:rPr>
        <w:t>Задача № 8.</w:t>
      </w:r>
      <w:r>
        <w:rPr>
          <w:rFonts w:ascii="Times New Roman" w:hAnsi="Times New Roman" w:cs="Times New Roman"/>
          <w:sz w:val="24"/>
          <w:szCs w:val="24"/>
        </w:rPr>
        <w:t xml:space="preserve"> На выборах депутатов Государственной Думы палата не была сформирована в правомочном составе из-за того, что в большом количестве округов выборы были признаны несостоявшимися. Однако те депутаты, которые были избраны, потребовали, чтобы их допустили к работе, считая, что они могут осуществлять депутатскую деятельность в иных формах, помимо участия в заседаниях палаты. По их мнению, не сформирование органа в целом не влияет на их правовой статус как избранных депутатов.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Правомерны ли требования депутатов? </w:t>
      </w:r>
    </w:p>
    <w:p w:rsidR="001668FF" w:rsidRDefault="001668FF" w:rsidP="001668FF">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Задача № 9. </w:t>
      </w:r>
      <w:r>
        <w:rPr>
          <w:rFonts w:ascii="Times New Roman" w:hAnsi="Times New Roman" w:cs="Times New Roman"/>
          <w:sz w:val="24"/>
          <w:szCs w:val="24"/>
        </w:rPr>
        <w:t xml:space="preserve">Министерство экономического развития и МВД Российской Федерации обратились к Президенту РФ с предложением одобрить программу разработки электронных паспортов. Электронный паспорт должен представлять собой пластиковую карточку, в которую помимо паспортных данных будет включена информация о медицинском и пенсионном обеспечении, ИНН и другая информация. По поручению Президента РФ Правовым управлением Администрации Президента была проведена правовая экспертиза программы и дано заключение, что сосредоточение в одной базе данных всей информации о гражданине способно нарушить его конституционные права, в частности, право на защиту информации о частной жизни. В условиях единого банка данных сложно будет обеспечить конфиденциальность этой информации.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Оцените доводы, приведенные в заключении. </w:t>
      </w:r>
    </w:p>
    <w:p w:rsidR="001668FF" w:rsidRDefault="001668FF" w:rsidP="001668FF">
      <w:pPr>
        <w:pStyle w:val="a3"/>
        <w:jc w:val="both"/>
        <w:rPr>
          <w:rFonts w:ascii="Times New Roman" w:hAnsi="Times New Roman" w:cs="Times New Roman"/>
          <w:sz w:val="24"/>
          <w:szCs w:val="24"/>
        </w:rPr>
      </w:pPr>
      <w:r>
        <w:rPr>
          <w:rFonts w:ascii="Times New Roman" w:hAnsi="Times New Roman" w:cs="Times New Roman"/>
          <w:b/>
          <w:sz w:val="24"/>
          <w:szCs w:val="24"/>
        </w:rPr>
        <w:t>Задача № 10.</w:t>
      </w:r>
      <w:r>
        <w:rPr>
          <w:rFonts w:ascii="Times New Roman" w:hAnsi="Times New Roman" w:cs="Times New Roman"/>
          <w:sz w:val="24"/>
          <w:szCs w:val="24"/>
        </w:rPr>
        <w:t xml:space="preserve"> Депутатом Тюлькиным был направлен депутатский запрос руководителю Управления делами Президента РФ. Запрос касался вопросов материального обеспечения (предоставление служебных машин) Администрации Президента РФ, Правительства РФ и Конституционного Суда РФ. Из Управления делами Президента в ответ был получен письменный отказ отвечать на поставленные вопросы, поскольку направление депутатских запросов в этот орган действующим законодательством не предусмотрено, поскольку он прямо не упомянут в Федеральном законе “О статусе члена Совета Федерации и депутата Государственной Думы Федерального Собрания Российской Федерации” и не относится к органам государственной власти, поскольку ему не переданы никакие властные полномочия. </w:t>
      </w:r>
    </w:p>
    <w:p w:rsidR="001668FF" w:rsidRDefault="001668FF" w:rsidP="001668FF">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Тюлькин обратился в суд. Какое решение должен вынести суд? </w:t>
      </w:r>
    </w:p>
    <w:p w:rsidR="001668FF" w:rsidRDefault="001668FF" w:rsidP="001668FF">
      <w:pPr>
        <w:pStyle w:val="a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Задача № </w:t>
      </w:r>
      <w:r>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xml:space="preserve"> Указом Президента Российской Федерации № 1444 от 7 августа 2000 года было утверждено Положение об Управлении делами Президента, которому были переданы полномочия по материально-техническому обеспечению деятельности федеральных органов государственной власти, в том числе Государственной Думы Федерального Собрания Российской Федерации. Данный Указ был оспорен в Конституционном Суде Российской Федерации на том основании, что Конституция не предоставляет Президенту РФ права осуществлять материально-техническое обеспечение деятельности парламента. Представитель Президента возражал, ссылаясь на то, что Конституция не запрещает Президенту осуществлять указанную деятельность.</w:t>
      </w:r>
    </w:p>
    <w:p w:rsidR="001668FF" w:rsidRDefault="001668FF" w:rsidP="001668FF">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Какое решение следует вынести Конституционному Суду? </w:t>
      </w:r>
    </w:p>
    <w:p w:rsidR="001668FF" w:rsidRDefault="001668FF" w:rsidP="001668FF">
      <w:pPr>
        <w:pStyle w:val="a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Задача № </w:t>
      </w:r>
      <w:r>
        <w:rPr>
          <w:rFonts w:ascii="Times New Roman" w:eastAsia="Times New Roman" w:hAnsi="Times New Roman" w:cs="Times New Roman"/>
          <w:b/>
          <w:sz w:val="24"/>
          <w:szCs w:val="24"/>
          <w:lang w:eastAsia="ru-RU"/>
        </w:rPr>
        <w:t>12.</w:t>
      </w:r>
      <w:r>
        <w:rPr>
          <w:rFonts w:ascii="Times New Roman" w:eastAsia="Times New Roman" w:hAnsi="Times New Roman" w:cs="Times New Roman"/>
          <w:sz w:val="24"/>
          <w:szCs w:val="24"/>
          <w:lang w:eastAsia="ru-RU"/>
        </w:rPr>
        <w:t xml:space="preserve"> Постановлением Государственной Думы было установлено, что обычаю голосовать за отсутствующих на заседании депутатов их коллегами ввиду его широкого применения должен быть придан общеобязательный характер. Конституционный Суд Российской Федерации, ссылаясь на правовую позицию, выраженную в п.13 мотивировочной части Постановления КС РФ от 20 июля 1999 года №12-П, признал Постановление не соответствующим Конституции РФ, однако депутаты, утверждая, что обычай также является источником конституционного права, продолжали голосовать за своих коллег. </w:t>
      </w:r>
    </w:p>
    <w:p w:rsidR="001668FF" w:rsidRDefault="001668FF" w:rsidP="001668FF">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ли выступать в качестве источников конституционного права правовой обычай, решения Конституционного Суда РФ и акты палат федерального парламента и каковы их особенности? </w:t>
      </w:r>
    </w:p>
    <w:p w:rsidR="001668FF" w:rsidRDefault="001668FF" w:rsidP="001668FF">
      <w:pPr>
        <w:pStyle w:val="a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Задача № </w:t>
      </w:r>
      <w:r>
        <w:rPr>
          <w:rFonts w:ascii="Times New Roman" w:eastAsia="Times New Roman" w:hAnsi="Times New Roman" w:cs="Times New Roman"/>
          <w:b/>
          <w:sz w:val="24"/>
          <w:szCs w:val="24"/>
          <w:lang w:eastAsia="ru-RU"/>
        </w:rPr>
        <w:t>13.</w:t>
      </w:r>
      <w:r>
        <w:rPr>
          <w:rFonts w:ascii="Times New Roman" w:eastAsia="Times New Roman" w:hAnsi="Times New Roman" w:cs="Times New Roman"/>
          <w:sz w:val="24"/>
          <w:szCs w:val="24"/>
          <w:lang w:eastAsia="ru-RU"/>
        </w:rPr>
        <w:t xml:space="preserve"> Договором между кандидатом в депутаты Государственной Думы Федерального Собрания Российская Федерации Василием Николаевичем Штыбиковым и типографией газеты “На страже Родины” был заключен гражданско-правовой договор об издании агитационных материалов. В изданных листовках не были указаны необходимые данные в соответствии с ФЗ “Об основных гарантиях избирательных прав и права на участие в референдуме граждан Российской Федерации”. Избирательная комиссия потребовала от кандидата прекратить распространение и пригрозила привлечь его к ответственности по статье 5.12 КоАП РФ – “Изготовление и распространение анонимных агитационных материалов”. На это кандидат В.Н. Штыбиков заявил, что договор он заключал не как кандидат, а как обычный гражданин; что ответственность должен не нести не он, а типография, поскольку именно типография не выполнила необходимые требования закона.</w:t>
      </w:r>
    </w:p>
    <w:p w:rsidR="001668FF" w:rsidRDefault="001668FF" w:rsidP="001668FF">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является сторонами в данном правоотношении, кто и какую должен нести ответственность? Определите объект конституционно-правовых (в данном случае – избирательно-правовых отношений)?</w:t>
      </w:r>
    </w:p>
    <w:p w:rsidR="001668FF" w:rsidRDefault="001668FF" w:rsidP="001668FF">
      <w:pPr>
        <w:pStyle w:val="a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Задача № </w:t>
      </w:r>
      <w:r>
        <w:rPr>
          <w:rFonts w:ascii="Times New Roman" w:eastAsia="Times New Roman" w:hAnsi="Times New Roman" w:cs="Times New Roman"/>
          <w:b/>
          <w:sz w:val="24"/>
          <w:szCs w:val="24"/>
          <w:lang w:eastAsia="ru-RU"/>
        </w:rPr>
        <w:t>14.</w:t>
      </w:r>
      <w:r>
        <w:rPr>
          <w:rFonts w:ascii="Times New Roman" w:eastAsia="Times New Roman" w:hAnsi="Times New Roman" w:cs="Times New Roman"/>
          <w:sz w:val="24"/>
          <w:szCs w:val="24"/>
          <w:lang w:eastAsia="ru-RU"/>
        </w:rPr>
        <w:t xml:space="preserve"> Прокурор Ленинградской области внес представление в Законодательное собрание и губернатору области, требуя разработать и утвердить, как это предусмотрено Конституцией РФ и Федеральным законом “Об общих принципах организации представительных (законодательных) и исполнительных органов государственной власти субъектов РФ”, Устав области. </w:t>
      </w:r>
    </w:p>
    <w:p w:rsidR="001668FF" w:rsidRDefault="001668FF" w:rsidP="001668FF">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Каковы особенности формы Конституции (Устава)? Какое решение должно быть принято по представлению прокурора?</w:t>
      </w:r>
    </w:p>
    <w:p w:rsidR="001668FF" w:rsidRDefault="001668FF" w:rsidP="001668FF">
      <w:pPr>
        <w:pStyle w:val="a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Задача № </w:t>
      </w:r>
      <w:r>
        <w:rPr>
          <w:rFonts w:ascii="Times New Roman" w:eastAsia="Times New Roman" w:hAnsi="Times New Roman" w:cs="Times New Roman"/>
          <w:b/>
          <w:sz w:val="24"/>
          <w:szCs w:val="24"/>
          <w:lang w:eastAsia="ru-RU"/>
        </w:rPr>
        <w:t>15.</w:t>
      </w:r>
      <w:r>
        <w:rPr>
          <w:rFonts w:ascii="Times New Roman" w:eastAsia="Times New Roman" w:hAnsi="Times New Roman" w:cs="Times New Roman"/>
          <w:sz w:val="24"/>
          <w:szCs w:val="24"/>
          <w:lang w:eastAsia="ru-RU"/>
        </w:rPr>
        <w:t xml:space="preserve"> В время подготовки проекта Конституции Российской Федерации в одном из проектов было предусмотрено, что изменения и дополнения в текст Конституции могут вноситься конституционным законом, обычным федеральным законом, а в некоторых случаях – Указом Президента РФ. Возражая против такого порядка изменения, ученые-юристы утверждали, что текст Конституции должен изменяться в особом порядке. </w:t>
      </w:r>
    </w:p>
    <w:p w:rsidR="001668FF" w:rsidRDefault="001668FF" w:rsidP="001668FF">
      <w:pPr>
        <w:pStyle w:val="a3"/>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 обычный порядок внесения изменений в текст конституции? Каким образом отличаются конституции по порядку их принятия? Какая позиция в приведенном споре Вам представляется более обоснованной</w:t>
      </w:r>
    </w:p>
    <w:p w:rsidR="0081009B" w:rsidRDefault="0081009B">
      <w:bookmarkStart w:id="0" w:name="_GoBack"/>
      <w:bookmarkEnd w:id="0"/>
    </w:p>
    <w:sectPr w:rsidR="00810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10"/>
    <w:rsid w:val="001668FF"/>
    <w:rsid w:val="0081009B"/>
    <w:rsid w:val="00B4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6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6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1920</Words>
  <Characters>10948</Characters>
  <Application>Microsoft Office Word</Application>
  <DocSecurity>0</DocSecurity>
  <Lines>91</Lines>
  <Paragraphs>25</Paragraphs>
  <ScaleCrop>false</ScaleCrop>
  <Company>*</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2016-10-14T09:46:00Z</dcterms:created>
  <dcterms:modified xsi:type="dcterms:W3CDTF">2016-10-14T09:46:00Z</dcterms:modified>
</cp:coreProperties>
</file>